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СОВЕТ НАРОДНЫХ ДЕПУТАТОВ </w:t>
      </w:r>
    </w:p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ЛЫКОВСКОГО СЕЛЬСКОГО ПОСЕЛЕНИЯ </w:t>
      </w:r>
    </w:p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ПОДГОРЕНСКОГО МУНИЦИПАЛЬНОГО РАЙОНА </w:t>
      </w:r>
    </w:p>
    <w:p w:rsidR="004A1763" w:rsidRPr="00320E9F" w:rsidRDefault="004A1763" w:rsidP="004A1763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>ВОРОНЕЖСКОЙ ОБЛАСТИ</w:t>
      </w:r>
    </w:p>
    <w:p w:rsidR="004A1763" w:rsidRPr="00320E9F" w:rsidRDefault="004A1763" w:rsidP="004A176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A1763" w:rsidRPr="00320E9F" w:rsidRDefault="004A1763" w:rsidP="004A1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>Р</w:t>
      </w:r>
      <w:proofErr w:type="gramEnd"/>
      <w:r w:rsidRPr="00320E9F">
        <w:rPr>
          <w:rFonts w:ascii="Times New Roman" w:eastAsia="Times New Roman" w:hAnsi="Times New Roman" w:cs="Times New Roman"/>
          <w:b/>
          <w:sz w:val="25"/>
          <w:szCs w:val="25"/>
        </w:rPr>
        <w:t xml:space="preserve"> Е Ш Е Н И Е</w:t>
      </w:r>
    </w:p>
    <w:p w:rsidR="004A1763" w:rsidRPr="00320E9F" w:rsidRDefault="004A1763" w:rsidP="004A176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A1763" w:rsidRPr="00320E9F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320E9F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от 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02</w:t>
      </w:r>
      <w:r w:rsidRPr="00320E9F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июня</w:t>
      </w:r>
      <w:r w:rsidRPr="00320E9F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2023 г. № </w:t>
      </w:r>
      <w:r>
        <w:rPr>
          <w:rFonts w:ascii="Times New Roman" w:eastAsia="Times New Roman" w:hAnsi="Times New Roman" w:cs="Times New Roman"/>
          <w:sz w:val="25"/>
          <w:szCs w:val="25"/>
          <w:u w:val="single"/>
        </w:rPr>
        <w:t>14</w:t>
      </w:r>
    </w:p>
    <w:p w:rsidR="004A1763" w:rsidRPr="00320E9F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20E9F">
        <w:rPr>
          <w:rFonts w:ascii="Times New Roman" w:eastAsia="Times New Roman" w:hAnsi="Times New Roman" w:cs="Times New Roman"/>
          <w:sz w:val="25"/>
          <w:szCs w:val="25"/>
        </w:rPr>
        <w:t>с. Лыково</w:t>
      </w:r>
    </w:p>
    <w:p w:rsidR="004A1763" w:rsidRPr="004A1763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1763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="000730B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 </w:t>
      </w: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порядке </w:t>
      </w:r>
    </w:p>
    <w:p w:rsidR="00B7764A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организации и</w:t>
      </w:r>
      <w:r w:rsidR="000730B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proofErr w:type="gramStart"/>
      <w:r w:rsidR="000730B1"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общественных</w:t>
      </w:r>
      <w:proofErr w:type="gramEnd"/>
      <w:r w:rsidR="000730B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</w:p>
    <w:p w:rsidR="00B7764A" w:rsidRDefault="000730B1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обсуждений или </w:t>
      </w:r>
      <w:r w:rsidR="004A1763"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публичных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="004A1763"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слушаний </w:t>
      </w:r>
    </w:p>
    <w:p w:rsidR="004A1763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 вопросам</w:t>
      </w:r>
      <w:r w:rsidR="00B7764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 </w:t>
      </w: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градостроительной деятельности </w:t>
      </w:r>
    </w:p>
    <w:p w:rsidR="004A1763" w:rsidRDefault="00B7764A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на территории Лыковского сельского поселения</w:t>
      </w:r>
    </w:p>
    <w:p w:rsidR="004A1763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>Подгоренского муниципального района</w:t>
      </w:r>
    </w:p>
    <w:p w:rsidR="004A1763" w:rsidRPr="004A1763" w:rsidRDefault="004A1763" w:rsidP="004A176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</w:pPr>
      <w:r w:rsidRPr="004A176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ar-SA"/>
        </w:rPr>
        <w:t xml:space="preserve">Воронежской области </w:t>
      </w:r>
    </w:p>
    <w:p w:rsidR="004A1763" w:rsidRPr="00320E9F" w:rsidRDefault="004A1763" w:rsidP="004A1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14585" w:rsidRPr="00414585" w:rsidRDefault="00414585" w:rsidP="004145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области,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414585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решил</w:t>
      </w:r>
      <w:r w:rsidRPr="00414585">
        <w:rPr>
          <w:rFonts w:ascii="Times New Roman" w:eastAsia="Times New Roman" w:hAnsi="Times New Roman" w:cs="Times New Roman"/>
          <w:spacing w:val="20"/>
          <w:sz w:val="26"/>
          <w:szCs w:val="26"/>
        </w:rPr>
        <w:t>:</w:t>
      </w:r>
    </w:p>
    <w:p w:rsidR="00414585" w:rsidRPr="00414585" w:rsidRDefault="00414585" w:rsidP="004145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на территории Лыковского сельского поселения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Подгоренского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муници</w:t>
      </w:r>
      <w:r>
        <w:rPr>
          <w:rFonts w:ascii="Times New Roman" w:eastAsia="Times New Roman" w:hAnsi="Times New Roman" w:cs="Times New Roman"/>
          <w:sz w:val="26"/>
          <w:szCs w:val="26"/>
        </w:rPr>
        <w:t>пального района</w:t>
      </w: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согласно приложению к настоящему решению.</w:t>
      </w:r>
    </w:p>
    <w:p w:rsidR="00E34D1E" w:rsidRDefault="00414585" w:rsidP="00E34D1E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58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решение  вступает  в силу </w:t>
      </w:r>
      <w:proofErr w:type="gramStart"/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</w:t>
      </w:r>
      <w:proofErr w:type="gramEnd"/>
      <w:r w:rsidR="00E34D1E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официального опубликования (обнародования)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          </w:t>
      </w:r>
    </w:p>
    <w:p w:rsidR="00E34D1E" w:rsidRPr="00C71972" w:rsidRDefault="00E34D1E" w:rsidP="00E34D1E">
      <w:pPr>
        <w:tabs>
          <w:tab w:val="left" w:pos="1258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C7197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7197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2E6459" w:rsidRDefault="002E6459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414585" w:rsidRDefault="00E34D1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 xml:space="preserve">Глава Лыковского </w:t>
      </w:r>
    </w:p>
    <w:p w:rsidR="00000000" w:rsidRDefault="00E34D1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сельского поселения                                                                               В.В. Колесников</w:t>
      </w:r>
    </w:p>
    <w:p w:rsidR="00065F71" w:rsidRDefault="00065F71" w:rsidP="00CD6868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</w:p>
    <w:p w:rsidR="00CD6868" w:rsidRPr="006A73B3" w:rsidRDefault="00CD6868" w:rsidP="00CD6868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D6868" w:rsidRDefault="00CD6868" w:rsidP="00CD6868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>к решению  Совет</w:t>
      </w:r>
      <w:r>
        <w:rPr>
          <w:rFonts w:ascii="Times New Roman" w:hAnsi="Times New Roman"/>
          <w:sz w:val="24"/>
          <w:szCs w:val="24"/>
        </w:rPr>
        <w:t xml:space="preserve">а народных депутатов Лыковского </w:t>
      </w:r>
      <w:r w:rsidRPr="006A73B3">
        <w:rPr>
          <w:rFonts w:ascii="Times New Roman" w:hAnsi="Times New Roman"/>
          <w:sz w:val="24"/>
          <w:szCs w:val="24"/>
        </w:rPr>
        <w:t>сельского поселения Подгоренского муниципального района Воронежской области</w:t>
      </w:r>
      <w:r w:rsidRPr="00617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02.06.2023 г. № 14</w:t>
      </w:r>
    </w:p>
    <w:p w:rsid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4B4C" w:rsidRDefault="00E74B4C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4B4C" w:rsidRDefault="00E74B4C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>о порядке организации и проведения общественных обсуждений</w:t>
      </w:r>
      <w:r w:rsidRPr="00065F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5FBA" w:rsidRPr="00065F71">
        <w:rPr>
          <w:rFonts w:ascii="Times New Roman" w:eastAsia="Times New Roman" w:hAnsi="Times New Roman" w:cs="Times New Roman"/>
          <w:b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публичных слушаний по вопросам градостроительной деятельности </w:t>
      </w:r>
      <w:r w:rsidR="000B5FBA" w:rsidRPr="00065F71">
        <w:rPr>
          <w:rFonts w:ascii="Times New Roman" w:eastAsia="Times New Roman" w:hAnsi="Times New Roman" w:cs="Times New Roman"/>
          <w:b/>
          <w:sz w:val="26"/>
          <w:szCs w:val="26"/>
        </w:rPr>
        <w:t>на территории Лыковского сельского поселения Подгоренского муниципального района</w:t>
      </w:r>
      <w:r w:rsidRPr="00CD6868">
        <w:rPr>
          <w:rFonts w:ascii="Times New Roman" w:eastAsia="Times New Roman" w:hAnsi="Times New Roman" w:cs="Times New Roman"/>
          <w:b/>
          <w:sz w:val="26"/>
          <w:szCs w:val="26"/>
        </w:rPr>
        <w:t> Воронежской области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6868" w:rsidRPr="00CD6868" w:rsidRDefault="00CD6868" w:rsidP="000B5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Глава 1. Общие положения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1. Публичные слушания, общественные обсуждения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проектам, предусмотренным частью 1 статьи 5.1 Градостроительного кодекса Российской Федерации проводятся</w:t>
      </w:r>
      <w:proofErr w:type="gramEnd"/>
      <w:r w:rsidR="000B5FBA" w:rsidRP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публичные слушания или общественные обсуждения,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Положение устанавливает порядок организации и проведения </w:t>
      </w:r>
      <w:r w:rsidR="00065F71" w:rsidRPr="00CD6868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65F71" w:rsidRPr="00065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по вопросам градостроительной деятельности </w:t>
      </w:r>
      <w:r w:rsidR="00065F71" w:rsidRPr="00065F71">
        <w:rPr>
          <w:rFonts w:ascii="Times New Roman" w:eastAsia="Times New Roman" w:hAnsi="Times New Roman" w:cs="Times New Roman"/>
          <w:sz w:val="26"/>
          <w:szCs w:val="26"/>
        </w:rPr>
        <w:t>на территории Лыковского сельского поселения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  Воронежской области.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оповещение жителей Подгоренского муниципального района о сроках или времени, а также месте проведения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- ознакомление жителей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муниципального района с проектом муниципального правового акта;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- равенства прав всех жителей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на участие в публичных слушаниях 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общественных обсуждениях, включая право на внесение замечаний и предложений;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учета замечаний и предложений, внесенных жителями в ходе публичных слушаний или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60"/>
      <w:bookmarkEnd w:id="0"/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62"/>
      <w:bookmarkEnd w:id="1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proofErr w:type="spellStart"/>
      <w:r w:rsidR="00065F71">
        <w:rPr>
          <w:rFonts w:ascii="Times New Roman" w:eastAsia="Times New Roman" w:hAnsi="Times New Roman" w:cs="Times New Roman"/>
          <w:sz w:val="26"/>
          <w:szCs w:val="26"/>
        </w:rPr>
        <w:t>Лыковском</w:t>
      </w:r>
      <w:proofErr w:type="spellEnd"/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форме публичных слушаний или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63"/>
      <w:bookmarkEnd w:id="2"/>
      <w:r w:rsidRPr="00CD6868">
        <w:rPr>
          <w:rFonts w:ascii="Times New Roman" w:eastAsia="Times New Roman" w:hAnsi="Times New Roman" w:cs="Times New Roman"/>
          <w:sz w:val="26"/>
          <w:szCs w:val="26"/>
        </w:rPr>
        <w:t>2. На публичные слушания или общественные обсуждения выносятся проекты, предусмотренные частью 1 статьи 5.1 Градостроительного кодекса Российской Федерации,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о назначении публичных слушаний или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Статья 4. Участники </w:t>
      </w:r>
      <w:r w:rsidR="00065F71" w:rsidRPr="00CD6868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78"/>
      <w:bookmarkEnd w:id="3"/>
      <w:r w:rsidRPr="00CD6868">
        <w:rPr>
          <w:rFonts w:ascii="Times New Roman" w:eastAsia="Times New Roman" w:hAnsi="Times New Roman" w:cs="Times New Roman"/>
          <w:sz w:val="26"/>
          <w:szCs w:val="26"/>
        </w:rPr>
        <w:t>1. Участниками публичных слушаний или общественных обсуждений по вопросам градостроительной деятельности являются субъекты, установленные частями 2, 3 статьи 5.1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3. Не требуется представление указанных в части 2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2 настоящей статьи, может использоваться единая система идентификац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>тентификации.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 июля 2006 года № 152-ФЗ «О персональных данных».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5. Организатор публичных слушаний 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Организатором </w:t>
      </w:r>
      <w:r w:rsidR="00065F71" w:rsidRPr="00CD6868"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обсуждений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является комиссия, создаваемая правовым актом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 составе председателя, секретаря и членов комиссии.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Срок проведения общественных обсуждений или публичных слушаний устанавливается законодательством о градостроительной деятельности.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Глава 2. Порядок организации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Публичные слушания или общественные обсуждения назначаются правовым актом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Правовой акт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о проведении публичных слушаний должен содержать информацию о дате, времени и месте их проведения, сведения о выносимом на публичные слушания проекте.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Правовой акт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о проведении общественных обсуждений должен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106"/>
      <w:bookmarkEnd w:id="4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4. На основании правового акта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о проведении публичных слушаний или общественных обсуждений разрабатывается оповещение о начале общественных обсуждений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5. Оповещение о начале публичных слушаний или общественных обсуждений должно содержать сведения, предусмотренные частями 6, 7 статьи 5.1 Градостроительного кодекса Российской Федерации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здания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на проведение публичных слушаний или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 (далее - территория, в пределах которой проводятся общественные обсуждения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публичные слушания), иными способами, обеспечивающими доступ участников общественных обсуждений или публичных слушаний к указанной информации. Конструкция указанного информационного стенда должна быть всесезонной и ветроустойчивой.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120"/>
      <w:bookmarkEnd w:id="5"/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8. Опубликование правовых актов о проведении публичных слушаний или общественных обсуждений, размещение на сайте проектов правовых актов по вопросам, выносимым на публичные слушания или общественные обсуждения, порядок проведения экспозиции, порядок консультирования посетителей экспозиции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123"/>
      <w:bookmarkEnd w:id="6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Постановление главы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о проведении публичных слушаний или общественных обсуждений с прилагаемым оповещением о начале публичных слушаний или общественных обсуждений не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</w:t>
      </w:r>
      <w:r w:rsidR="00065F71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>Вестнике муниципальных правовых актов Лыковского сельского поселения Подгоренского муниципального района Воронежской области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, а так же размещается на официальном сайте органа местного самоуправления в сети Интернет.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2. Проекты правовых актов по вопросам, выносимым на публичные слушания или общественные обсуждения, размещаются на официальном сайте в сети Интернет.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Проведение экспозиции проекта, выносимого на общественные обсуждения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публичные слушания, осуществляется путем размещения проекта и информационных материалов к нему в помещении, адрес которого указывается в оповещении о начале общественных обсуждений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5. На экспозиции должны быть представлены проект, подлежащий рассмотрению на общественных обсуждениях или публичных слушаниях и информационные материалы к нему.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(далее - организатор общественных обсуждений) и (или) разработчика проекта, подлежащего рассмотрению на общественных обсуждениях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слушаниях.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Глава 3. Порядок проведения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9. Процедура проведения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10. Процедура проведения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проекта;</w:t>
      </w:r>
      <w:proofErr w:type="gramEnd"/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65F71" w:rsidRDefault="00065F71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Статья 11. Особенности подготовки к проведению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Организатор на основании правового акта главы Подгоренского муниципального района о назначении публичных слушаний: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утверждает темы докладов и определяет докладчиков;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готовит и организует публикацию оповещения в составе решения органа местного самоуправления о начале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5) оповещает население </w:t>
      </w:r>
      <w:r w:rsidR="00065F71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муниципального района на официальном сайте в сети Интернет о проведении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173"/>
      <w:bookmarkEnd w:id="7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В период размещения в соответствии с частью 2 статьи 9 и частью 2 статьи10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частью 2 статьи 4 настоящего Положения идентификацию, имеют право вносить предложения и замечания, касающиеся такого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 проекта: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2. Предложения и замечания, внесенные в соответствии с частью 1 настоящей статьи, подлежат регистрации, а также обязательному рассмотрению организатором публичных слушаниях или общественных обсуждений, за исключением случая, предусмотренного частью 3 настоящей статьи.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3. Предложения и замечания, внесенные в соответствии с частью 1 настоящей статьи, не рассматриваются в случае выявления факта представления участником публичных слушаниях или общественных обсуждений недостоверных сведений.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13. Порядок проведения собрания или собраний участников публичных слушаний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Публичные слушания открывает председатель Организационного комитета (далее - председательствующий).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После выступления председательствующего слово предоставляется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выступающим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>. Время одного выступления не должно превышать 5 минут. В исключительных случаях по решению председательствующего время выступления может быть продлено.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Выступающий вправе передать председательствующему письменный те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кст св</w:t>
      </w:r>
      <w:proofErr w:type="gramEnd"/>
      <w:r w:rsidRPr="00CD6868">
        <w:rPr>
          <w:rFonts w:ascii="Times New Roman" w:eastAsia="Times New Roman" w:hAnsi="Times New Roman" w:cs="Times New Roman"/>
          <w:sz w:val="26"/>
          <w:szCs w:val="26"/>
        </w:rPr>
        <w:t>оего выступления, а также материалы для обоснования своих замечаний и предложений.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6.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1. 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№ 4 к настоящему Положению, в котором указываются сведения, предусмотренные частью 18 статьи 5.1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CD6868">
        <w:rPr>
          <w:rFonts w:ascii="Times New Roman" w:eastAsia="Times New Roman" w:hAnsi="Times New Roman" w:cs="Times New Roman"/>
          <w:sz w:val="26"/>
          <w:szCs w:val="26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lastRenderedPageBreak/>
        <w:t>1. На основании протокола публичных слушаний или общественных обсуждений организатор публичных слушаний или общественных обсуждений осуществляет подготовку заключения о результатах публичных слушаний или общественных обсуждений по форме согласно приложению № 5 к настоящему Положению.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В заключении о результатах публичных слушаний или общественных обсуждений указываются сведения, предусмотренные частью 22 статьи 5.1 Градостроительного кодекса Российской Федерации.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2. Заключение о результатах общественных обсуждений или публичных слушаний подготавливается организатором общественных обсуждений или публичных слушаний в течение 14 календарных дней после истечения срока проведения общественных 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обсуждений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слушаний, указанного в оповещении о начале общественных обсуждений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3. Заключение о результатах общественных обсуждений или публичных слушаний в течение 5 календарных дней с момента его составления подлежит опубликованию в </w:t>
      </w:r>
      <w:r w:rsidR="00FC235D" w:rsidRPr="00C71972">
        <w:rPr>
          <w:rFonts w:ascii="Times New Roman" w:eastAsia="Times New Roman" w:hAnsi="Times New Roman" w:cs="Times New Roman"/>
          <w:sz w:val="26"/>
          <w:szCs w:val="26"/>
          <w:lang w:eastAsia="ar-SA"/>
        </w:rPr>
        <w:t>Вестнике муниципальных правовых актов Лыковского сельского поселения Подгоренского муниципального района Воронежской области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, а так же размещается на официальном сайте</w:t>
      </w:r>
      <w:r w:rsidR="00065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органа местного самоуправления в сети Интернет.</w:t>
      </w:r>
    </w:p>
    <w:p w:rsidR="00CD6868" w:rsidRPr="00CD6868" w:rsidRDefault="00CD6868" w:rsidP="00CD6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868">
        <w:rPr>
          <w:rFonts w:ascii="Times New Roman" w:eastAsia="Times New Roman" w:hAnsi="Times New Roman" w:cs="Times New Roman"/>
          <w:sz w:val="26"/>
          <w:szCs w:val="26"/>
        </w:rPr>
        <w:t>4. Заключение о результатах общественных обсуждений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или публичных слушаний, протокол общественных обсуждений или публичных слушаний и материалы, собранные в ходе подготовки и проведения общественных обсуждений или публичных слушаний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 xml:space="preserve">хранятся в администрации 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Лыковского сельского поселения 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  <w:r w:rsidR="00FC235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CD68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6868" w:rsidRDefault="00CD6868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E74B4C" w:rsidRPr="006A73B3" w:rsidRDefault="00E74B4C" w:rsidP="00E74B4C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E74B4C" w:rsidRDefault="00E74B4C" w:rsidP="00E74B4C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Лыковского сельского поселения Подгоренского муниципального района Воронежской области</w:t>
      </w: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 проекте, подлежащем рассмотрению на публичных слушаниях, и перечень информационных материалов к такому проекту: 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782D5E" w:rsidRPr="00782D5E" w:rsidRDefault="00782D5E" w:rsidP="00782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(перечень информационных материалов к проекту)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 и сроки проведения публичных слушаний: ________________________________________________________________________________________________________________________________________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 дате, времени и месте проведения собрания (собраний) участников публичных слушаний: ______________________________________.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Место открытия экспозиции: 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Дата открытия экспозиции:________________________________________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Срок проведения экспозиции:______________________________________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днях и часах, в которые возможно посещение экспозиции: 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Порядок, срок и форма внесения участниками публичных слушаний предложений и замечаний:___________________________________________________________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официальном сайте, на котором будут размещены проект, подлежащий рассмотрению на публичных слушаниях, и информационные материалы к </w:t>
      </w:r>
      <w:proofErr w:type="spellStart"/>
      <w:r w:rsidRPr="00782D5E">
        <w:rPr>
          <w:rFonts w:ascii="Times New Roman" w:eastAsia="Times New Roman" w:hAnsi="Times New Roman" w:cs="Times New Roman"/>
          <w:sz w:val="26"/>
          <w:szCs w:val="26"/>
        </w:rPr>
        <w:t>нему:___________________________________________________</w:t>
      </w:r>
      <w:proofErr w:type="spellEnd"/>
      <w:r w:rsidRPr="00782D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4B4C" w:rsidRDefault="00E74B4C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Лыковского сельского поселения Подгоренского муниципального района Воронежской области</w:t>
      </w: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Информация о проекте, подлежащем рассмотрению на общественных обсуждениях, и перечень информационных материалов к такому проекту: 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(перечень информационных материалов к проекту)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 и сроки проведения общественных обсуждений: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Место открытия экспозиции: 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Дата открытия экспозиции:_______________________________________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Срок проведения экспозиции:______________________________________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днях и часах, в которые возможно посещение экспозиции: 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Порядок, срок и форма внесения участниками общественных обсуждений предложений и замечаний:_____________________________________________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</w:t>
      </w:r>
      <w:proofErr w:type="spellStart"/>
      <w:r w:rsidRPr="00782D5E">
        <w:rPr>
          <w:rFonts w:ascii="Times New Roman" w:eastAsia="Times New Roman" w:hAnsi="Times New Roman" w:cs="Times New Roman"/>
          <w:sz w:val="26"/>
          <w:szCs w:val="26"/>
        </w:rPr>
        <w:t>нему:___________________________________________________</w:t>
      </w:r>
      <w:proofErr w:type="spellEnd"/>
      <w:r w:rsidRPr="00782D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Лыковского сельского поселения Подгоренского муниципального района Воронежской области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2273"/>
        <w:gridCol w:w="1041"/>
        <w:gridCol w:w="2239"/>
        <w:gridCol w:w="2398"/>
      </w:tblGrid>
      <w:tr w:rsidR="00782D5E" w:rsidRPr="00782D5E" w:rsidTr="00982F70">
        <w:trPr>
          <w:trHeight w:val="20"/>
        </w:trPr>
        <w:tc>
          <w:tcPr>
            <w:tcW w:w="5000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КНИГА (ЖУРНАЛ) УЧЕТА ПОСЕТИТЕЛЕЙ ЭКСПОЗИЦИИ</w:t>
            </w:r>
          </w:p>
        </w:tc>
      </w:tr>
      <w:tr w:rsidR="00782D5E" w:rsidRPr="00782D5E" w:rsidTr="00982F70">
        <w:trPr>
          <w:trHeight w:val="20"/>
        </w:trPr>
        <w:tc>
          <w:tcPr>
            <w:tcW w:w="5000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"__" _______ 20__ - "__" _______20__</w:t>
            </w:r>
          </w:p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(даты проведения экспозиции)</w:t>
            </w:r>
          </w:p>
          <w:p w:rsidR="00782D5E" w:rsidRPr="00782D5E" w:rsidRDefault="00782D5E" w:rsidP="00782D5E">
            <w:pPr>
              <w:spacing w:after="0" w:line="240" w:lineRule="auto"/>
              <w:ind w:left="970"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2D5E" w:rsidRPr="00782D5E" w:rsidTr="00982F70">
        <w:trPr>
          <w:trHeight w:val="1492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Место проведения экспозиции: ____________________________________________________________________</w:t>
            </w:r>
          </w:p>
          <w:p w:rsidR="00782D5E" w:rsidRPr="00782D5E" w:rsidRDefault="00782D5E" w:rsidP="00782D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(наименование проекта муниципального правового акта)</w:t>
            </w:r>
          </w:p>
        </w:tc>
      </w:tr>
      <w:tr w:rsidR="00782D5E" w:rsidRPr="00782D5E" w:rsidTr="00982F70"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Дата и время внесения данных, порядковый номер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Сведения о лицах - посетителях экспозиции</w:t>
            </w:r>
          </w:p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D5E">
              <w:rPr>
                <w:rFonts w:ascii="Times New Roman" w:eastAsia="Times New Roman" w:hAnsi="Times New Roman" w:cs="Times New Roman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proofErr w:type="gramEnd"/>
          </w:p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D5E">
              <w:rPr>
                <w:rFonts w:ascii="Times New Roman" w:eastAsia="Times New Roman" w:hAnsi="Times New Roman" w:cs="Times New Roman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proofErr w:type="gramEnd"/>
          </w:p>
        </w:tc>
        <w:tc>
          <w:tcPr>
            <w:tcW w:w="17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82D5E">
              <w:rPr>
                <w:rFonts w:ascii="Times New Roman" w:eastAsia="Times New Roman" w:hAnsi="Times New Roman" w:cs="Times New Roman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782D5E">
              <w:rPr>
                <w:rFonts w:ascii="Times New Roman" w:eastAsia="Times New Roman" w:hAnsi="Times New Roman" w:cs="Times New Roman"/>
              </w:rPr>
              <w:t xml:space="preserve"> объектов капитального строительства)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Информация о замечаниях и предложениях к проекту</w:t>
            </w:r>
          </w:p>
        </w:tc>
      </w:tr>
      <w:tr w:rsidR="00782D5E" w:rsidRPr="00782D5E" w:rsidTr="00982F70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D5E" w:rsidRPr="00782D5E" w:rsidTr="00982F70"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D5E" w:rsidRPr="00782D5E" w:rsidRDefault="00782D5E" w:rsidP="0078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82D5E" w:rsidRPr="00782D5E" w:rsidTr="00982F70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5E" w:rsidRPr="00782D5E" w:rsidRDefault="00782D5E" w:rsidP="007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82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82D5E" w:rsidRDefault="00782D5E" w:rsidP="00E3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4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Лыковского сельского поселения Подгоренского муниципального района Воронежской области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ПРОТОКОЛ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ОБЩЕСТВЕННЫХ ОБСУЖДЕНИЙ (ПУБЛИЧНЫХ СЛУШАНИЙ)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Дата оформления протокола:_____________________________________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Информация об организаторе общественных обсуждений (публичных слушаний): 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Информация, содержащаяся в опубликованном оповещении о начале общественных обсуждений (публичных слушаний), дата и источник его опубликования:_________________________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Срок, в течение которого принимались предложения и замечания:___________________________________________________________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Территория, в пределах которой проводятся общественные обсуждения (публичные слушания):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 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Предложения и замечания иных участников общественных обсуждений (публичных слушаний):_______________________________________________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Приложение: перечень принявших участие в рассмотрении проекта участников общественных обсуждений (публичных слушаний), включающий в себя сведения, предусмотренные частью 2 статьи</w:t>
      </w:r>
      <w:r>
        <w:rPr>
          <w:rFonts w:ascii="Times New Roman" w:hAnsi="Times New Roman"/>
          <w:sz w:val="26"/>
          <w:szCs w:val="26"/>
        </w:rPr>
        <w:t xml:space="preserve"> 14 настоящего Положения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Председатель Организационного комитета        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Секретарь Организационного комитета          ____________________</w:t>
      </w:r>
    </w:p>
    <w:p w:rsidR="00782D5E" w:rsidRPr="00782D5E" w:rsidRDefault="00782D5E" w:rsidP="00782D5E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782D5E">
        <w:rPr>
          <w:rFonts w:ascii="Times New Roman" w:hAnsi="Times New Roman"/>
          <w:sz w:val="26"/>
          <w:szCs w:val="26"/>
        </w:rPr>
        <w:t>подпись</w:t>
      </w:r>
    </w:p>
    <w:p w:rsidR="00782D5E" w:rsidRPr="006A73B3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5</w:t>
      </w:r>
    </w:p>
    <w:p w:rsidR="00782D5E" w:rsidRDefault="00782D5E" w:rsidP="00782D5E">
      <w:pPr>
        <w:spacing w:after="0"/>
        <w:ind w:left="5387" w:right="-1"/>
        <w:rPr>
          <w:rFonts w:ascii="Times New Roman" w:hAnsi="Times New Roman"/>
          <w:sz w:val="24"/>
          <w:szCs w:val="24"/>
        </w:rPr>
      </w:pPr>
      <w:r w:rsidRPr="006A73B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Лыковского сельского поселения Подгоренского муниципального района Воронежской области</w:t>
      </w: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(ПУБЛИЧНЫХ СЛУШАНИЙ)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Дата оформления заключения: 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dst2156"/>
      <w:bookmarkEnd w:id="8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Наименование проекта, рассмотренного на общественных обсуждениях (публичных слушаниях): 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слушаниях):__________________________________________________________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dst2157"/>
      <w:bookmarkEnd w:id="9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Реквизиты протокола общественных обсуждений (публичных слушаний), на основании которого подготовлено заключение о результатах общественных обсуждений</w:t>
      </w:r>
      <w:bookmarkStart w:id="10" w:name="dst2158"/>
      <w:bookmarkEnd w:id="10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(публичных слушаний):_____________________________________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Содержание внесенных предложений и замечаний: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1) 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предложения и замечания иных участников общественных обсуждений (публичных слушаний):________________________________________________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(В случае внесения несколькими участниками общественных обсуждений (публичных слушаний) одинаковых предложений и замечаний допускается обобщение таких предложений и замечаний).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dst2159"/>
      <w:bookmarkEnd w:id="11"/>
      <w:r w:rsidRPr="00782D5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слушаний):________________________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Председатель Организационного комитета   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подпись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Секретарь Организационного комитета         __________________</w:t>
      </w:r>
    </w:p>
    <w:p w:rsidR="00782D5E" w:rsidRPr="00782D5E" w:rsidRDefault="00782D5E" w:rsidP="0078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2D5E">
        <w:rPr>
          <w:rFonts w:ascii="Times New Roman" w:eastAsia="Times New Roman" w:hAnsi="Times New Roman" w:cs="Times New Roman"/>
          <w:sz w:val="26"/>
          <w:szCs w:val="26"/>
        </w:rPr>
        <w:t>подпись</w:t>
      </w:r>
    </w:p>
    <w:p w:rsidR="00782D5E" w:rsidRPr="00782D5E" w:rsidRDefault="00782D5E" w:rsidP="00782D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/>
        </w:rPr>
      </w:pPr>
    </w:p>
    <w:sectPr w:rsidR="00782D5E" w:rsidRPr="00782D5E" w:rsidSect="00065F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763"/>
    <w:rsid w:val="00065F71"/>
    <w:rsid w:val="000730B1"/>
    <w:rsid w:val="000B5FBA"/>
    <w:rsid w:val="002E6459"/>
    <w:rsid w:val="00414585"/>
    <w:rsid w:val="004A1763"/>
    <w:rsid w:val="00782D5E"/>
    <w:rsid w:val="00B7764A"/>
    <w:rsid w:val="00CD6868"/>
    <w:rsid w:val="00E34D1E"/>
    <w:rsid w:val="00E74B4C"/>
    <w:rsid w:val="00FC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2023-06-07T13:33:00Z</dcterms:created>
  <dcterms:modified xsi:type="dcterms:W3CDTF">2023-06-07T13:59:00Z</dcterms:modified>
</cp:coreProperties>
</file>