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9B" w:rsidRPr="0056369B" w:rsidRDefault="0056369B" w:rsidP="0056369B">
      <w:pPr>
        <w:spacing w:before="2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56369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56369B" w:rsidRPr="0056369B" w:rsidRDefault="0056369B" w:rsidP="0056369B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56369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ПОСТАНОВЛЕНИЕ</w:t>
      </w:r>
    </w:p>
    <w:p w:rsidR="0056369B" w:rsidRPr="0056369B" w:rsidRDefault="0056369B" w:rsidP="0056369B">
      <w:pPr>
        <w:spacing w:before="2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6369B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от 30 ноября 2022 г.  №  70                                                                                                                           </w:t>
      </w:r>
      <w:r w:rsidRPr="005636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с. Лыково</w:t>
      </w:r>
    </w:p>
    <w:p w:rsidR="0056369B" w:rsidRPr="0056369B" w:rsidRDefault="0056369B" w:rsidP="0056369B">
      <w:pPr>
        <w:pStyle w:val="ConsPlusTitle"/>
        <w:ind w:right="4109"/>
        <w:rPr>
          <w:sz w:val="26"/>
          <w:szCs w:val="26"/>
        </w:rPr>
      </w:pPr>
      <w:r w:rsidRPr="0056369B">
        <w:rPr>
          <w:sz w:val="26"/>
          <w:szCs w:val="26"/>
        </w:rPr>
        <w:t xml:space="preserve">Об утверждении порядка разработки </w:t>
      </w:r>
    </w:p>
    <w:p w:rsidR="0056369B" w:rsidRPr="0056369B" w:rsidRDefault="0056369B" w:rsidP="0056369B">
      <w:pPr>
        <w:pStyle w:val="ConsPlusTitle"/>
        <w:ind w:right="4109"/>
        <w:rPr>
          <w:sz w:val="26"/>
          <w:szCs w:val="26"/>
        </w:rPr>
      </w:pPr>
      <w:r w:rsidRPr="0056369B">
        <w:rPr>
          <w:sz w:val="26"/>
          <w:szCs w:val="26"/>
        </w:rPr>
        <w:t>и утверждения административных регламентов предоставления муниципальных услуг</w:t>
      </w:r>
    </w:p>
    <w:p w:rsidR="0056369B" w:rsidRPr="0056369B" w:rsidRDefault="0056369B" w:rsidP="005636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6369B" w:rsidRPr="0056369B" w:rsidRDefault="0056369B" w:rsidP="0056369B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6369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 исполнение пункта 4 плана мероприятий  («дорожной  карты») по реализации положений Федерального закона от30.12.2000 г. № 509-ФЗ «О внесении изменений в отдельные  законодательные акты Российской Федерации» на территории Воронежской области, утвержденного распоряжением правительства Воронежской области от 24.11.2021 г. № 1228-р, администрация Лыковского сельского поселения Подгоренского      муниципального  района Воронежской области  </w:t>
      </w:r>
      <w:proofErr w:type="spellStart"/>
      <w:proofErr w:type="gramStart"/>
      <w:r w:rsidRPr="0056369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proofErr w:type="spellEnd"/>
      <w:proofErr w:type="gramEnd"/>
      <w:r w:rsidRPr="0056369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с т а </w:t>
      </w:r>
      <w:proofErr w:type="spellStart"/>
      <w:r w:rsidRPr="0056369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</w:t>
      </w:r>
      <w:proofErr w:type="spellEnd"/>
      <w:r w:rsidRPr="0056369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в л я е т: </w:t>
      </w:r>
    </w:p>
    <w:p w:rsidR="0056369B" w:rsidRPr="0056369B" w:rsidRDefault="0056369B" w:rsidP="00563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369B">
        <w:rPr>
          <w:rFonts w:ascii="Times New Roman" w:eastAsia="Times New Roman" w:hAnsi="Times New Roman" w:cs="Times New Roman"/>
          <w:sz w:val="26"/>
          <w:szCs w:val="26"/>
          <w:lang w:eastAsia="ar-SA"/>
        </w:rPr>
        <w:t>1. Утвердить порядок разработки и утверждения административных регламентов предоставления муниципальных услуг, согласно приложению к настоящему постановлению.</w:t>
      </w:r>
    </w:p>
    <w:p w:rsidR="0056369B" w:rsidRPr="0056369B" w:rsidRDefault="0056369B" w:rsidP="005636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369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Постановление администрации Лыковского сельского поселения Подгоренского муниципального района Воронежской области от </w:t>
      </w:r>
      <w:r w:rsidR="00681552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Pr="0056369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.05.2015 № </w:t>
      </w:r>
      <w:r w:rsidR="00681552"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Pr="0056369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порядке разработки и утверждения административных регламентов предоставления муниципальных услуг» признать утратившим силу.</w:t>
      </w:r>
    </w:p>
    <w:p w:rsidR="0056369B" w:rsidRPr="0056369B" w:rsidRDefault="0056369B" w:rsidP="0056369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69B">
        <w:rPr>
          <w:rFonts w:ascii="Times New Roman" w:eastAsia="Times New Roman" w:hAnsi="Times New Roman" w:cs="Times New Roman"/>
          <w:sz w:val="26"/>
          <w:szCs w:val="26"/>
        </w:rPr>
        <w:t xml:space="preserve">3. Настоящее постановление  вступает  в силу </w:t>
      </w:r>
      <w:proofErr w:type="gramStart"/>
      <w:r w:rsidRPr="0056369B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56369B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 (обнародования) 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 Воронежской области.</w:t>
      </w:r>
    </w:p>
    <w:p w:rsidR="0056369B" w:rsidRPr="0056369B" w:rsidRDefault="0056369B" w:rsidP="0056369B">
      <w:pPr>
        <w:tabs>
          <w:tab w:val="num" w:pos="0"/>
          <w:tab w:val="left" w:pos="142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69B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56369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56369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                   за собой.</w:t>
      </w:r>
    </w:p>
    <w:p w:rsidR="0056369B" w:rsidRPr="0056369B" w:rsidRDefault="0056369B" w:rsidP="005636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6369B" w:rsidRDefault="0056369B" w:rsidP="005636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6369B" w:rsidRPr="0056369B" w:rsidRDefault="0056369B" w:rsidP="005636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0000" w:rsidRPr="0056369B" w:rsidRDefault="0056369B" w:rsidP="005636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369B">
        <w:rPr>
          <w:rFonts w:ascii="Times New Roman" w:hAnsi="Times New Roman" w:cs="Times New Roman"/>
          <w:sz w:val="26"/>
          <w:szCs w:val="26"/>
        </w:rPr>
        <w:t xml:space="preserve">Глава Лыковского </w:t>
      </w:r>
    </w:p>
    <w:p w:rsidR="0056369B" w:rsidRDefault="0056369B" w:rsidP="005636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369B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369B">
        <w:rPr>
          <w:rFonts w:ascii="Times New Roman" w:hAnsi="Times New Roman" w:cs="Times New Roman"/>
          <w:sz w:val="26"/>
          <w:szCs w:val="26"/>
        </w:rPr>
        <w:t xml:space="preserve">    В.В. Колесников</w:t>
      </w:r>
    </w:p>
    <w:p w:rsidR="006433E5" w:rsidRDefault="006433E5" w:rsidP="005636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33E5" w:rsidRPr="006433E5" w:rsidRDefault="006433E5" w:rsidP="006433E5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433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0" w:name="_GoBack"/>
      <w:bookmarkEnd w:id="0"/>
    </w:p>
    <w:p w:rsidR="006433E5" w:rsidRPr="006433E5" w:rsidRDefault="006433E5" w:rsidP="006433E5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433E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433E5" w:rsidRPr="006433E5" w:rsidRDefault="006433E5" w:rsidP="006433E5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433E5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</w:t>
      </w:r>
    </w:p>
    <w:p w:rsidR="006433E5" w:rsidRPr="006433E5" w:rsidRDefault="006433E5" w:rsidP="006433E5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433E5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</w:t>
      </w:r>
    </w:p>
    <w:p w:rsidR="006433E5" w:rsidRPr="006433E5" w:rsidRDefault="006433E5" w:rsidP="006433E5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433E5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</w:t>
      </w:r>
    </w:p>
    <w:p w:rsidR="006433E5" w:rsidRPr="006433E5" w:rsidRDefault="006433E5" w:rsidP="006433E5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33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Pr="006433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ноября</w:t>
      </w:r>
      <w:r w:rsidRPr="006433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2022 г.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6433E5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</w:p>
    <w:p w:rsidR="006433E5" w:rsidRDefault="006433E5" w:rsidP="006433E5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6433E5" w:rsidRDefault="006433E5" w:rsidP="006433E5">
      <w:pPr>
        <w:pStyle w:val="ConsPlusTitle"/>
        <w:ind w:firstLine="709"/>
        <w:jc w:val="center"/>
        <w:rPr>
          <w:sz w:val="28"/>
          <w:szCs w:val="28"/>
        </w:rPr>
      </w:pPr>
    </w:p>
    <w:p w:rsidR="006433E5" w:rsidRPr="0077416C" w:rsidRDefault="006433E5" w:rsidP="006433E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77416C">
        <w:rPr>
          <w:sz w:val="28"/>
          <w:szCs w:val="28"/>
        </w:rPr>
        <w:t>РАЗРАБОТКИ И УТВЕРЖДЕНИЯ АДМИНИСТРАТИВНЫХ РЕГЛАМЕНТОВ</w:t>
      </w:r>
      <w:r>
        <w:rPr>
          <w:sz w:val="28"/>
          <w:szCs w:val="28"/>
        </w:rPr>
        <w:t xml:space="preserve"> </w:t>
      </w:r>
      <w:r w:rsidRPr="0077416C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МУНИЦИПАЛЬНЫХ </w:t>
      </w:r>
      <w:r w:rsidRPr="0077416C">
        <w:rPr>
          <w:sz w:val="28"/>
          <w:szCs w:val="28"/>
        </w:rPr>
        <w:t>УСЛУГ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3E5" w:rsidRPr="0077416C" w:rsidRDefault="006433E5" w:rsidP="006433E5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77416C">
        <w:rPr>
          <w:sz w:val="28"/>
          <w:szCs w:val="28"/>
        </w:rPr>
        <w:t>I. Общие положения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Pr="0077416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зработке и утверждению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 (далее </w:t>
      </w:r>
      <w:r>
        <w:rPr>
          <w:rFonts w:ascii="Times New Roman" w:hAnsi="Times New Roman" w:cs="Times New Roman"/>
          <w:sz w:val="28"/>
          <w:szCs w:val="28"/>
        </w:rPr>
        <w:t>– административные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>).</w:t>
      </w:r>
    </w:p>
    <w:p w:rsidR="006433E5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Лыковского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Воронежской области, предоставляющей муниципальные </w:t>
      </w:r>
      <w:r w:rsidRPr="0077416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433E5" w:rsidRPr="002463B9" w:rsidRDefault="006433E5" w:rsidP="006433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Pr="002463B9">
        <w:rPr>
          <w:rFonts w:ascii="Times New Roman" w:eastAsia="Calibri" w:hAnsi="Times New Roman" w:cs="Times New Roman"/>
          <w:sz w:val="28"/>
          <w:szCs w:val="28"/>
        </w:rPr>
        <w:t>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Pr="002463B9">
        <w:rPr>
          <w:rFonts w:ascii="Times New Roman" w:eastAsia="Calibri" w:hAnsi="Times New Roman" w:cs="Times New Roman"/>
          <w:sz w:val="28"/>
          <w:szCs w:val="28"/>
        </w:rPr>
        <w:t xml:space="preserve">.  Структура и содержание административного регламента должны соответствовать разделу </w:t>
      </w:r>
      <w:r w:rsidRPr="002463B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463B9">
        <w:rPr>
          <w:rFonts w:ascii="Times New Roman" w:eastAsia="Calibri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6433E5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77416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 w:cs="Times New Roman"/>
          <w:sz w:val="28"/>
          <w:szCs w:val="28"/>
        </w:rPr>
        <w:t>с единым стандартом предоставления государственной и муниципальной услуги, единым стандартом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 w:cs="Times New Roman"/>
          <w:sz w:val="28"/>
          <w:szCs w:val="28"/>
        </w:rPr>
        <w:t xml:space="preserve">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813">
        <w:rPr>
          <w:rFonts w:ascii="Times New Roman" w:hAnsi="Times New Roman" w:cs="Times New Roman"/>
          <w:sz w:val="28"/>
          <w:szCs w:val="28"/>
        </w:rPr>
        <w:t xml:space="preserve">после внесения сведений о муниципальной услуге в </w:t>
      </w:r>
      <w:r w:rsidRPr="009D2544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6433E5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предусмотрено принятие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этом указанным порядком осуществления полномочия, утвержденным нормативным правовым актом </w:t>
      </w:r>
      <w:r w:rsidRPr="00D11382">
        <w:rPr>
          <w:rFonts w:ascii="Times New Roman" w:hAnsi="Times New Roman" w:cs="Times New Roman"/>
          <w:sz w:val="28"/>
          <w:szCs w:val="28"/>
        </w:rPr>
        <w:t>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не регулируются вопросы, относящиеся к предмету регулирования административного реглам</w:t>
      </w:r>
      <w:r>
        <w:rPr>
          <w:rFonts w:ascii="Times New Roman" w:hAnsi="Times New Roman" w:cs="Times New Roman"/>
          <w:sz w:val="28"/>
          <w:szCs w:val="28"/>
        </w:rPr>
        <w:t>ента в соответствии с настоящим Порядком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587">
        <w:rPr>
          <w:rFonts w:ascii="Times New Roman" w:hAnsi="Times New Roman" w:cs="Times New Roman"/>
          <w:sz w:val="28"/>
          <w:szCs w:val="28"/>
        </w:rPr>
        <w:t>Разработка,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587">
        <w:rPr>
          <w:rFonts w:ascii="Times New Roman" w:hAnsi="Times New Roman" w:cs="Times New Roman"/>
          <w:sz w:val="28"/>
          <w:szCs w:val="28"/>
        </w:rPr>
        <w:t>и утверждение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 w:cs="Times New Roman"/>
          <w:sz w:val="28"/>
          <w:szCs w:val="28"/>
        </w:rPr>
        <w:t>ративных регламентов осуществляе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тся </w:t>
      </w:r>
      <w:r w:rsidRPr="00D11382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с использованием программно-технических средств реестра услуг.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proofErr w:type="gramStart"/>
      <w:r w:rsidRPr="0077416C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  <w:proofErr w:type="gramEnd"/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77416C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P5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hyperlink r:id="rId4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77416C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услуги, основаниях для отказа в приеме таких документов и (или) информации, основаниях для приостановления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услуги).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услуге, преобразованные в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машиночитаемый вид в соответствии с </w:t>
      </w:r>
      <w:hyperlink w:anchor="P5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77416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предусматривае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режиме,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всех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</w:t>
      </w:r>
      <w:hyperlink r:id="rId5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77416C">
        <w:rPr>
          <w:rFonts w:ascii="Times New Roman" w:hAnsi="Times New Roman" w:cs="Times New Roman"/>
          <w:sz w:val="28"/>
          <w:szCs w:val="28"/>
        </w:rPr>
        <w:t>услуга.</w:t>
      </w:r>
    </w:p>
    <w:p w:rsidR="006433E5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3E5" w:rsidRPr="0077416C" w:rsidRDefault="006433E5" w:rsidP="006433E5">
      <w:pPr>
        <w:pStyle w:val="ConsPlusTitle"/>
        <w:jc w:val="center"/>
        <w:outlineLvl w:val="1"/>
        <w:rPr>
          <w:sz w:val="28"/>
          <w:szCs w:val="28"/>
        </w:rPr>
      </w:pPr>
      <w:bookmarkStart w:id="6" w:name="P60"/>
      <w:bookmarkEnd w:id="6"/>
      <w:r w:rsidRPr="0077416C">
        <w:rPr>
          <w:sz w:val="28"/>
          <w:szCs w:val="28"/>
        </w:rPr>
        <w:t>II. Требования к структуре</w:t>
      </w:r>
    </w:p>
    <w:p w:rsidR="006433E5" w:rsidRPr="0077416C" w:rsidRDefault="006433E5" w:rsidP="006433E5">
      <w:pPr>
        <w:pStyle w:val="ConsPlusTitle"/>
        <w:jc w:val="center"/>
        <w:rPr>
          <w:sz w:val="28"/>
          <w:szCs w:val="28"/>
        </w:rPr>
      </w:pPr>
      <w:r w:rsidRPr="0077416C">
        <w:rPr>
          <w:sz w:val="28"/>
          <w:szCs w:val="28"/>
        </w:rPr>
        <w:t>и содержанию административных регламентов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>) досудебный (внесудебный) порядок обжалования решений и действий (бездействия</w:t>
      </w:r>
      <w:r w:rsidRPr="00AC019D">
        <w:rPr>
          <w:rFonts w:ascii="Times New Roman" w:hAnsi="Times New Roman" w:cs="Times New Roman"/>
          <w:sz w:val="28"/>
          <w:szCs w:val="28"/>
        </w:rPr>
        <w:t>) администрации, многофункционального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центра, организаций, указанных в </w:t>
      </w:r>
      <w:hyperlink r:id="rId6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</w:t>
      </w:r>
      <w:r w:rsidRPr="00AC019D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>
        <w:rPr>
          <w:rFonts w:ascii="Times New Roman" w:hAnsi="Times New Roman" w:cs="Times New Roman"/>
          <w:sz w:val="28"/>
          <w:szCs w:val="28"/>
        </w:rPr>
        <w:t>администрацие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7741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>далее - профилирование), а также результата, за предоставлением которого обратился заявитель.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из следующих подразделов: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показатели качества </w:t>
      </w:r>
      <w:r>
        <w:rPr>
          <w:rFonts w:ascii="Times New Roman" w:hAnsi="Times New Roman" w:cs="Times New Roman"/>
          <w:sz w:val="28"/>
          <w:szCs w:val="28"/>
        </w:rPr>
        <w:t>и доступности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81552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 услугу»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77416C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91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Pr="0085678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 (далее – Портал  Воронежской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416C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85678B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а также ее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  <w:proofErr w:type="gramEnd"/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7416C">
        <w:rPr>
          <w:rFonts w:ascii="Times New Roman" w:hAnsi="Times New Roman" w:cs="Times New Roman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восьмом</w:t>
        </w:r>
      </w:hyperlink>
      <w:r w:rsidR="00681552"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12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9"/>
      <w:bookmarkEnd w:id="11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0"/>
      <w:bookmarkEnd w:id="12"/>
      <w:r w:rsidRPr="0077416C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</w:t>
      </w:r>
      <w:r>
        <w:rPr>
          <w:rFonts w:ascii="Times New Roman" w:hAnsi="Times New Roman" w:cs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78B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7741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муниципальные услуги» 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доступность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81552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8"/>
      <w:bookmarkEnd w:id="13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12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Pr="0077416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2"/>
      <w:bookmarkEnd w:id="14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варианты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муниципальнойуслуги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необходимые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описание административной процедуры профилирования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заявителя;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24</w:t>
        </w:r>
      </w:hyperlink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</w:t>
      </w:r>
      <w:r>
        <w:rPr>
          <w:rFonts w:ascii="Times New Roman" w:hAnsi="Times New Roman" w:cs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  <w:proofErr w:type="gramEnd"/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433E5" w:rsidRPr="0077416C" w:rsidRDefault="006433E5" w:rsidP="0064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>)</w:t>
      </w:r>
      <w:r w:rsidR="00681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участвующие в приеме запроса о предоставлении муниципальной услуги, в том числе </w:t>
      </w:r>
      <w:r w:rsidRPr="000D361A">
        <w:rPr>
          <w:rFonts w:ascii="Times New Roman" w:hAnsi="Times New Roman" w:cs="Times New Roman"/>
          <w:sz w:val="28"/>
          <w:szCs w:val="28"/>
        </w:rPr>
        <w:t>сведения о возможности подачи запроса в многофункциональный центр (при наличии такой возможности);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е) возможность (невозможность) приема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ж) 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центре.</w:t>
      </w:r>
    </w:p>
    <w:p w:rsidR="006433E5" w:rsidRPr="006E7FDB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B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2E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1552">
        <w:rPr>
          <w:rFonts w:ascii="Times New Roman" w:hAnsi="Times New Roman" w:cs="Times New Roman"/>
          <w:sz w:val="28"/>
          <w:szCs w:val="28"/>
        </w:rPr>
        <w:t xml:space="preserve"> </w:t>
      </w:r>
      <w:r w:rsidRPr="005A232E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>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681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</w:t>
      </w:r>
      <w:r w:rsidRPr="000E4476">
        <w:rPr>
          <w:rFonts w:ascii="Times New Roman" w:hAnsi="Times New Roman" w:cs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681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1552">
        <w:rPr>
          <w:rFonts w:ascii="Times New Roman" w:hAnsi="Times New Roman" w:cs="Times New Roman"/>
          <w:sz w:val="28"/>
          <w:szCs w:val="28"/>
        </w:rPr>
        <w:t xml:space="preserve"> </w:t>
      </w:r>
      <w:r w:rsidRPr="000E447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</w:t>
      </w:r>
      <w:hyperlink r:id="rId7" w:history="1">
        <w:r w:rsidRPr="006E7FDB"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1"/>
      <w:bookmarkEnd w:id="15"/>
      <w:proofErr w:type="gramStart"/>
      <w:r w:rsidRPr="0077416C">
        <w:rPr>
          <w:rFonts w:ascii="Times New Roman" w:hAnsi="Times New Roman" w:cs="Times New Roman"/>
          <w:sz w:val="28"/>
          <w:szCs w:val="28"/>
        </w:rPr>
        <w:t>б) сведения о юридич</w:t>
      </w:r>
      <w:r>
        <w:rPr>
          <w:rFonts w:ascii="Times New Roman" w:hAnsi="Times New Roman" w:cs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заявителю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>) режиме;</w:t>
      </w:r>
      <w:proofErr w:type="gramEnd"/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6E7FDB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 w:cs="Times New Roman"/>
          <w:sz w:val="28"/>
          <w:szCs w:val="28"/>
        </w:rPr>
        <w:t>в которую должны поступить данные сведения;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г) состав, последовательность и сроки выполнения административных процедур,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информационную систему сведений, указанных в </w:t>
      </w:r>
      <w:hyperlink w:anchor="P171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A4D88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8" w:history="1">
        <w:r w:rsidRPr="00EA4D8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6433E5" w:rsidRPr="001136B4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3E5" w:rsidRPr="0077416C" w:rsidRDefault="006433E5" w:rsidP="00681552">
      <w:pPr>
        <w:pStyle w:val="ConsPlusTitle"/>
        <w:jc w:val="center"/>
        <w:outlineLvl w:val="1"/>
        <w:rPr>
          <w:sz w:val="28"/>
          <w:szCs w:val="28"/>
        </w:rPr>
      </w:pPr>
      <w:r w:rsidRPr="0077416C">
        <w:rPr>
          <w:sz w:val="28"/>
          <w:szCs w:val="28"/>
        </w:rPr>
        <w:t>III. Порядок согласования</w:t>
      </w:r>
    </w:p>
    <w:p w:rsidR="006433E5" w:rsidRPr="0077416C" w:rsidRDefault="006433E5" w:rsidP="00681552">
      <w:pPr>
        <w:pStyle w:val="ConsPlusTitle"/>
        <w:jc w:val="center"/>
        <w:rPr>
          <w:sz w:val="28"/>
          <w:szCs w:val="28"/>
        </w:rPr>
      </w:pPr>
      <w:r w:rsidRPr="0077416C">
        <w:rPr>
          <w:sz w:val="28"/>
          <w:szCs w:val="28"/>
        </w:rPr>
        <w:t>и утверждения административных регламентов</w:t>
      </w:r>
    </w:p>
    <w:p w:rsidR="006433E5" w:rsidRPr="001136B4" w:rsidRDefault="006433E5" w:rsidP="006815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77416C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органам и организациям, участвующим в согласовании проекта административного регламента, в том числе по вопросу осуществления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(далее - органы,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согласовании).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77416C">
        <w:rPr>
          <w:rFonts w:ascii="Times New Roman" w:hAnsi="Times New Roman" w:cs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его на согласование в реестре услуг.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77416C">
        <w:rPr>
          <w:rFonts w:ascii="Times New Roman" w:hAnsi="Times New Roman" w:cs="Times New Roman"/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рассматривает поступившие замечания.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A557BD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A557BD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77416C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7741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433E5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77416C">
        <w:rPr>
          <w:rFonts w:ascii="Times New Roman" w:hAnsi="Times New Roman" w:cs="Times New Roman"/>
          <w:sz w:val="28"/>
          <w:szCs w:val="28"/>
        </w:rPr>
        <w:t xml:space="preserve">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направляет проект административного </w:t>
      </w:r>
      <w:r w:rsidRPr="00E953CF">
        <w:rPr>
          <w:rFonts w:ascii="Times New Roman" w:hAnsi="Times New Roman" w:cs="Times New Roman"/>
          <w:sz w:val="28"/>
          <w:szCs w:val="28"/>
        </w:rPr>
        <w:t>регламента на экспертизу</w:t>
      </w:r>
      <w:r w:rsidR="00681552">
        <w:rPr>
          <w:rFonts w:ascii="Times New Roman" w:hAnsi="Times New Roman" w:cs="Times New Roman"/>
          <w:sz w:val="28"/>
          <w:szCs w:val="28"/>
        </w:rPr>
        <w:t xml:space="preserve"> </w:t>
      </w:r>
      <w:r w:rsidRPr="00E953CF">
        <w:rPr>
          <w:rFonts w:ascii="Times New Roman" w:hAnsi="Times New Roman" w:cs="Times New Roman"/>
          <w:sz w:val="28"/>
          <w:szCs w:val="28"/>
        </w:rPr>
        <w:t>должностному лицу администрации.</w:t>
      </w:r>
    </w:p>
    <w:p w:rsidR="006433E5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77416C">
        <w:rPr>
          <w:rFonts w:ascii="Times New Roman" w:hAnsi="Times New Roman" w:cs="Times New Roman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</w:t>
      </w:r>
      <w:r w:rsidR="00681552"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</w:t>
      </w:r>
      <w:r w:rsidRPr="0068155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81552">
        <w:rPr>
          <w:rFonts w:ascii="Times New Roman" w:hAnsi="Times New Roman" w:cs="Times New Roman"/>
          <w:sz w:val="28"/>
          <w:szCs w:val="28"/>
        </w:rPr>
        <w:t xml:space="preserve">Лыковского </w:t>
      </w:r>
      <w:r w:rsidRPr="006815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1552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экспертизы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Pr="00E953C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53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81552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либо урегулирования разногласий по результатам экспертизы </w:t>
      </w:r>
      <w:r w:rsidRPr="00E953CF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953C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53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6433E5" w:rsidRPr="0077416C" w:rsidRDefault="006433E5" w:rsidP="00681552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77416C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268FE">
        <w:rPr>
          <w:rFonts w:ascii="Times New Roman" w:hAnsi="Times New Roman" w:cs="Times New Roman"/>
          <w:sz w:val="28"/>
          <w:szCs w:val="28"/>
        </w:rPr>
        <w:t>последующего официального опубликования.</w:t>
      </w:r>
    </w:p>
    <w:p w:rsidR="006433E5" w:rsidRPr="0077416C" w:rsidRDefault="006433E5" w:rsidP="00643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</w:t>
      </w:r>
      <w:r>
        <w:rPr>
          <w:rFonts w:ascii="Times New Roman" w:hAnsi="Times New Roman" w:cs="Times New Roman"/>
          <w:sz w:val="28"/>
          <w:szCs w:val="28"/>
        </w:rPr>
        <w:t>ятии в соответствии с настоящим</w:t>
      </w:r>
      <w:r w:rsidR="00681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77416C">
        <w:rPr>
          <w:rFonts w:ascii="Times New Roman" w:hAnsi="Times New Roman" w:cs="Times New Roman"/>
          <w:sz w:val="28"/>
          <w:szCs w:val="28"/>
        </w:rPr>
        <w:t>нового административного регламента.</w:t>
      </w:r>
      <w:bookmarkStart w:id="16" w:name="P210"/>
      <w:bookmarkEnd w:id="16"/>
    </w:p>
    <w:p w:rsidR="006433E5" w:rsidRPr="006433E5" w:rsidRDefault="006433E5" w:rsidP="006433E5">
      <w:pPr>
        <w:spacing w:after="0" w:line="240" w:lineRule="auto"/>
        <w:rPr>
          <w:rFonts w:ascii="Times New Roman" w:hAnsi="Times New Roman" w:cs="Times New Roman"/>
        </w:rPr>
      </w:pPr>
    </w:p>
    <w:sectPr w:rsidR="006433E5" w:rsidRPr="006433E5" w:rsidSect="0056369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69B"/>
    <w:rsid w:val="0056369B"/>
    <w:rsid w:val="006433E5"/>
    <w:rsid w:val="0068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6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643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5" Type="http://schemas.openxmlformats.org/officeDocument/2006/relationships/hyperlink" Target="consultantplus://offline/ref=DC261BAEFD0FC484EDF6F45FFC26131C77D9561B2EA0ED9210BA8AB381DA486429714B3DD320BACA0A0332D75ESETA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5350</Words>
  <Characters>30499</Characters>
  <Application>Microsoft Office Word</Application>
  <DocSecurity>0</DocSecurity>
  <Lines>254</Lines>
  <Paragraphs>71</Paragraphs>
  <ScaleCrop>false</ScaleCrop>
  <Company>Microsoft</Company>
  <LinksUpToDate>false</LinksUpToDate>
  <CharactersWithSpaces>35778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2022-11-30T05:15:00Z</dcterms:created>
  <dcterms:modified xsi:type="dcterms:W3CDTF">2022-11-30T05:42:00Z</dcterms:modified>
</cp:coreProperties>
</file>